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764B9B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764B9B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764B9B" w:rsidRDefault="00871BB8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5E18F0" w:rsidRPr="00764B9B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871BB8"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764B9B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764B9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9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764B9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764B9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764B9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764B9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764B9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764B9B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</w:t>
            </w:r>
            <w:r w:rsidR="006F6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135</w:t>
            </w:r>
            <w:r w:rsidR="00567305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64B9B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764B9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764B9B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76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764B9B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76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764B9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6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6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764B9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64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764B9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764B9B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25B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</w:t>
            </w:r>
            <w:proofErr w:type="spellEnd"/>
            <w:r w:rsidR="00DF325B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64B9B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764B9B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5B" w:rsidRPr="006F6459" w:rsidRDefault="00DF325B" w:rsidP="008D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проведение работ по замене лифтового оборудования, признанного непригодным для эксплуатации и ремонту лифтовых шахт многоквартирных домов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по адресам: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="006F6459" w:rsidRPr="006F6459">
              <w:rPr>
                <w:rFonts w:ascii="Times New Roman" w:hAnsi="Times New Roman" w:cs="Times New Roman"/>
                <w:sz w:val="24"/>
              </w:rPr>
              <w:t xml:space="preserve">Солнечный р-н, </w:t>
            </w:r>
            <w:proofErr w:type="spellStart"/>
            <w:r w:rsidR="006F6459" w:rsidRPr="006F6459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="006F6459" w:rsidRPr="006F6459">
              <w:rPr>
                <w:rFonts w:ascii="Times New Roman" w:hAnsi="Times New Roman" w:cs="Times New Roman"/>
                <w:sz w:val="24"/>
              </w:rPr>
              <w:t>. Солнечный,</w:t>
            </w:r>
          </w:p>
          <w:tbl>
            <w:tblPr>
              <w:tblW w:w="61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79"/>
              <w:gridCol w:w="1134"/>
              <w:gridCol w:w="1966"/>
            </w:tblGrid>
            <w:tr w:rsidR="00DF325B" w:rsidRPr="00764B9B" w:rsidTr="006F6459">
              <w:trPr>
                <w:trHeight w:hRule="exact" w:val="538"/>
              </w:trPr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57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лифтов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подъездов</w:t>
                  </w:r>
                </w:p>
              </w:tc>
            </w:tr>
            <w:tr w:rsidR="006F6459" w:rsidRPr="00764B9B" w:rsidTr="006F6459">
              <w:trPr>
                <w:trHeight w:hRule="exact" w:val="371"/>
              </w:trPr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6459" w:rsidRPr="00780425" w:rsidRDefault="006F6459" w:rsidP="006F6459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8042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Строителей, д. 1</w:t>
                  </w:r>
                  <w:r w:rsidR="00F40BC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лифт</w:t>
                  </w:r>
                </w:p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подъезд</w:t>
                  </w:r>
                  <w:r w:rsidR="008D7D6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(п. №</w:t>
                  </w:r>
                  <w:r w:rsidR="003845A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8D7D6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1)</w:t>
                  </w:r>
                </w:p>
              </w:tc>
            </w:tr>
            <w:tr w:rsidR="006F6459" w:rsidRPr="00764B9B" w:rsidTr="006F6459">
              <w:trPr>
                <w:trHeight w:hRule="exact" w:val="404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6459" w:rsidRPr="00780425" w:rsidRDefault="006F6459" w:rsidP="006F6459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8042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Геологов, д. 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лифт</w:t>
                  </w:r>
                </w:p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подъезд</w:t>
                  </w:r>
                  <w:r w:rsidR="008D7D6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(п. №</w:t>
                  </w:r>
                  <w:r w:rsidR="003845A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8D7D6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1)</w:t>
                  </w:r>
                </w:p>
              </w:tc>
            </w:tr>
            <w:tr w:rsidR="006F6459" w:rsidRPr="00764B9B" w:rsidTr="006F6459">
              <w:trPr>
                <w:trHeight w:hRule="exact" w:val="397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6459" w:rsidRPr="00780425" w:rsidRDefault="006F6459" w:rsidP="006F6459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ул. Подгорная, д. 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6459" w:rsidRPr="00764B9B" w:rsidRDefault="006F6459" w:rsidP="006F64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подъезда</w:t>
                  </w:r>
                  <w:r w:rsidR="008D7D6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(п. № 1-4)</w:t>
                  </w:r>
                </w:p>
              </w:tc>
            </w:tr>
          </w:tbl>
          <w:p w:rsidR="009A008B" w:rsidRPr="00764B9B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764B9B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6F6459" w:rsidRDefault="00DF325B" w:rsidP="006F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6F6459" w:rsidRPr="006F6459">
              <w:rPr>
                <w:rFonts w:ascii="Times New Roman" w:hAnsi="Times New Roman" w:cs="Times New Roman"/>
                <w:sz w:val="24"/>
              </w:rPr>
              <w:t xml:space="preserve">Солнечный р-н, </w:t>
            </w:r>
            <w:proofErr w:type="spellStart"/>
            <w:r w:rsidR="006F6459" w:rsidRPr="006F6459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="006F6459" w:rsidRPr="006F6459">
              <w:rPr>
                <w:rFonts w:ascii="Times New Roman" w:hAnsi="Times New Roman" w:cs="Times New Roman"/>
                <w:sz w:val="24"/>
              </w:rPr>
              <w:t>. Солнечный,</w:t>
            </w:r>
            <w:r w:rsidR="006F6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6459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Строителей, д. 1 А, ул. Геологов, д. 3, ул. Подгорная, д. 15.</w:t>
            </w:r>
          </w:p>
        </w:tc>
      </w:tr>
      <w:tr w:rsidR="00847676" w:rsidRPr="00764B9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64B9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64B9B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F325B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60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764B9B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64B9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6459" w:rsidRDefault="006F6459" w:rsidP="006F6459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253 340</w:t>
            </w:r>
            <w:r w:rsidRPr="006F645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6F6459">
              <w:rPr>
                <w:rFonts w:ascii="Times New Roman" w:hAnsi="Times New Roman"/>
                <w:b/>
                <w:sz w:val="24"/>
                <w:szCs w:val="24"/>
              </w:rPr>
              <w:t>(двести пятьдесят три тысяч триста сорок) рублей 00 копеек</w:t>
            </w:r>
            <w:r w:rsidR="00C26E31" w:rsidRPr="00764B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764B9B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64B9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7" w:rsidRDefault="003F20F7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0F7" w:rsidRDefault="003F20F7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764B9B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764B9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764B9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764B9B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64B9B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64B9B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64B9B" w:rsidRDefault="0071403C" w:rsidP="006F6459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F6459">
              <w:rPr>
                <w:rFonts w:ascii="Times New Roman" w:hAnsi="Times New Roman"/>
                <w:b/>
                <w:sz w:val="24"/>
                <w:szCs w:val="24"/>
              </w:rPr>
              <w:t>2 533</w:t>
            </w:r>
            <w:r w:rsidR="006F6459" w:rsidRPr="00EE7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6459"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6459">
              <w:rPr>
                <w:rFonts w:ascii="Times New Roman" w:hAnsi="Times New Roman"/>
                <w:b/>
                <w:sz w:val="24"/>
                <w:szCs w:val="24"/>
              </w:rPr>
              <w:t>две тысячи пятьсот тридцать три) рубля 40 копеек</w:t>
            </w:r>
            <w:r w:rsidR="00DF325B"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764B9B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764B9B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764B9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64B9B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64B9B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64B9B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764B9B">
              <w:rPr>
                <w:rFonts w:ascii="Times New Roman" w:hAnsi="Times New Roman" w:cs="Times New Roman"/>
              </w:rPr>
              <w:t>а</w:t>
            </w:r>
            <w:r w:rsidRPr="00764B9B">
              <w:rPr>
                <w:rFonts w:ascii="Times New Roman" w:hAnsi="Times New Roman" w:cs="Times New Roman"/>
              </w:rPr>
              <w:t xml:space="preserve"> 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64B9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764B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764B9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764B9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64B9B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64B9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64B9B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764B9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764B9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64B9B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764B9B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649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764B9B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764B9B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649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764B9B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64B9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764B9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64B9B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649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764B9B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64B9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64B9B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764B9B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B649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B649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</w:t>
            </w:r>
            <w:r w:rsidR="00DF325B"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ября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764B9B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764B9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64B9B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64B9B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64B9B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764B9B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64B9B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64B9B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64B9B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764B9B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764B9B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764B9B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764B9B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764B9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64B9B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64B9B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B6494A">
              <w:rPr>
                <w:rFonts w:ascii="Times New Roman" w:hAnsi="Times New Roman"/>
                <w:b/>
                <w:sz w:val="24"/>
                <w:szCs w:val="24"/>
              </w:rPr>
              <w:t>25 334</w:t>
            </w:r>
            <w:r w:rsidR="00B6494A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6494A">
              <w:rPr>
                <w:rFonts w:ascii="Times New Roman" w:hAnsi="Times New Roman"/>
                <w:b/>
                <w:sz w:val="24"/>
                <w:szCs w:val="24"/>
              </w:rPr>
              <w:t>двадцать пят</w:t>
            </w:r>
            <w:r w:rsidR="00897CE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B6494A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 w:rsidR="00B6494A">
              <w:rPr>
                <w:rFonts w:ascii="Times New Roman" w:hAnsi="Times New Roman"/>
                <w:b/>
                <w:sz w:val="24"/>
                <w:szCs w:val="24"/>
              </w:rPr>
              <w:t>триста тридцать четыре) рубля</w:t>
            </w:r>
            <w:r w:rsidR="00B6494A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94A">
              <w:rPr>
                <w:rFonts w:ascii="Times New Roman" w:hAnsi="Times New Roman"/>
                <w:b/>
                <w:sz w:val="24"/>
                <w:szCs w:val="24"/>
              </w:rPr>
              <w:t>00 копеек</w:t>
            </w: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764B9B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64B9B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64B9B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764B9B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04A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5A8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0F7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6F6459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4B9B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1BB8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97CE2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9E5"/>
    <w:rsid w:val="008D0F1E"/>
    <w:rsid w:val="008D1543"/>
    <w:rsid w:val="008D26EA"/>
    <w:rsid w:val="008D54D9"/>
    <w:rsid w:val="008D7D67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94A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522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325B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0BC8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F6A9-CF4B-4F66-B491-5FD5C79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129</cp:revision>
  <cp:lastPrinted>2017-08-10T00:49:00Z</cp:lastPrinted>
  <dcterms:created xsi:type="dcterms:W3CDTF">2017-01-25T07:16:00Z</dcterms:created>
  <dcterms:modified xsi:type="dcterms:W3CDTF">2017-09-29T06:45:00Z</dcterms:modified>
</cp:coreProperties>
</file>