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0515D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Вр.и.о.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0515D1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А.Л. Шишкин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2C4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82B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111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B82BD9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9" w:rsidRPr="00BC6DAB" w:rsidRDefault="00B82BD9" w:rsidP="00B8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6DAB">
              <w:rPr>
                <w:rFonts w:ascii="Times New Roman" w:hAnsi="Times New Roman"/>
                <w:sz w:val="24"/>
              </w:rPr>
              <w:t>Выполнение работ по р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проведение работ по капитальному ремонту внутридомовых инженерных систем электроснабжения, теплоснабжения, горячего водоснабжения, холодного водоснабжения, водоотведения, фасада, 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крыши (далее – ПД </w:t>
            </w:r>
            <w:r>
              <w:rPr>
                <w:rFonts w:ascii="Times New Roman" w:hAnsi="Times New Roman" w:cs="Times New Roman"/>
                <w:sz w:val="24"/>
              </w:rPr>
              <w:t>ЭС, ТС, ГВС,</w:t>
            </w:r>
            <w:r w:rsidRPr="007302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ХВС, ВО, ФС, КР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B82BD9" w:rsidRDefault="00B82BD9" w:rsidP="00B8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</w:t>
            </w:r>
            <w:r>
              <w:rPr>
                <w:rFonts w:ascii="Times New Roman" w:hAnsi="Times New Roman" w:cs="Times New Roman"/>
                <w:sz w:val="24"/>
              </w:rPr>
              <w:t xml:space="preserve">Хабаровск 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878"/>
            </w:tblGrid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ХВС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ВО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Майская,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Стрельникова,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Бондаря,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Мостовая,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Тихоокеанская,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82BD9" w:rsidRPr="00CE56B0" w:rsidTr="00B82BD9">
              <w:trPr>
                <w:trHeight w:hRule="exact" w:val="526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Тихоокеанская,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171А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Вологодская,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А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Калараша,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А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ТС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Ленина,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ул. Ленина,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Гамарника,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82BD9" w:rsidRPr="00CE56B0" w:rsidTr="00B82BD9">
              <w:trPr>
                <w:trHeight w:hRule="exact" w:val="566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Краснореченская,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ТС</w:t>
                  </w:r>
                </w:p>
              </w:tc>
            </w:tr>
            <w:tr w:rsidR="00B82BD9" w:rsidRPr="00CE56B0" w:rsidTr="00B82BD9">
              <w:trPr>
                <w:trHeight w:hRule="exact" w:val="546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Краснореченская,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ВО</w:t>
                  </w:r>
                </w:p>
              </w:tc>
            </w:tr>
            <w:tr w:rsidR="00B82BD9" w:rsidRPr="00CE56B0" w:rsidTr="00094008">
              <w:trPr>
                <w:trHeight w:hRule="exact" w:val="284"/>
              </w:trPr>
              <w:tc>
                <w:tcPr>
                  <w:tcW w:w="200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Стрельникова,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7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82BD9" w:rsidRPr="00CE56B0" w:rsidRDefault="00B82BD9" w:rsidP="00B82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56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CE318C" w:rsidRDefault="0071403C" w:rsidP="00B82BD9">
            <w:pPr>
              <w:tabs>
                <w:tab w:val="left" w:pos="0"/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E318C" w:rsidRPr="00CE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г. </w:t>
            </w:r>
            <w:r w:rsidR="00B82BD9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</w:t>
            </w:r>
            <w:r w:rsidR="00CE318C" w:rsidRPr="00CE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2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ДОС, д. 18, ул. Майская, д. 35, ул. Стрельникова, д. 1, ул. Бондаря, д. 1. ул. Мостовая, д. 1, ул. Тихоокеанская, д. 22, ул. Тихоокеанская, д.171А, ул. Вологодская, д. 6 А, ул. Калараша, д. 24 А, ул. Ленина, д. 10, ул. Ленина, д. 65, ул. Гамарника, д. 60, ул. Краснореченская, д. 40, </w:t>
            </w:r>
            <w:r w:rsidR="00B82BD9" w:rsidRPr="00B82BD9">
              <w:rPr>
                <w:rFonts w:ascii="Times New Roman" w:hAnsi="Times New Roman" w:cs="Times New Roman"/>
                <w:bCs/>
                <w:sz w:val="24"/>
                <w:szCs w:val="24"/>
              </w:rPr>
              <w:t>ул. Стрельникова, д. 15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B82BD9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689 676 (шестьсот восемьдесят девять тысяч шестьсот семьдесят шесть) рублей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E113E1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9" w:rsidRDefault="00B82BD9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B82B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82B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896 (шесть тысяч восемьсот девяноста шесть) рублей 76 копеек</w:t>
            </w:r>
            <w:r w:rsidRPr="00B82BD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E66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3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13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E31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113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13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13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BE66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13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D42990" w:rsidRDefault="00232510" w:rsidP="00E1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D42990" w:rsidRPr="00D4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 исполнения договора </w:t>
            </w:r>
            <w:r w:rsidR="00E113E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D42990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42990" w:rsidRPr="00D42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D9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82BD9" w:rsidRPr="00B82B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  <w:r w:rsidR="00B82B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82BD9" w:rsidRPr="00B82B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967 (шестьдесят восемь тысяч девятьсот шестьдесят семь) рублей 60 копеек</w:t>
            </w:r>
            <w:r w:rsidR="00B82BD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6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15D1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4F54"/>
    <w:rsid w:val="002C6B86"/>
    <w:rsid w:val="002D5295"/>
    <w:rsid w:val="002D575F"/>
    <w:rsid w:val="002E1545"/>
    <w:rsid w:val="002E1BA9"/>
    <w:rsid w:val="002E285A"/>
    <w:rsid w:val="002E521A"/>
    <w:rsid w:val="002E5F93"/>
    <w:rsid w:val="002E667B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291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17619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B72E2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2E71"/>
    <w:rsid w:val="009F4463"/>
    <w:rsid w:val="009F6928"/>
    <w:rsid w:val="009F6C5C"/>
    <w:rsid w:val="009F79B1"/>
    <w:rsid w:val="00A012E6"/>
    <w:rsid w:val="00A017C4"/>
    <w:rsid w:val="00A01859"/>
    <w:rsid w:val="00A02130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BD9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669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18C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2990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13E1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E8D1-0255-47E2-997F-41255B45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78</cp:revision>
  <cp:lastPrinted>2017-03-22T23:45:00Z</cp:lastPrinted>
  <dcterms:created xsi:type="dcterms:W3CDTF">2017-01-25T07:16:00Z</dcterms:created>
  <dcterms:modified xsi:type="dcterms:W3CDTF">2017-07-24T04:45:00Z</dcterms:modified>
</cp:coreProperties>
</file>